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1000"/>
      </w:pPr>
      <w:r>
        <w:t xml:space="preserve"/>
      </w:r>
    </w:p>
    <w:p>
      <w:pPr>
        <w:spacing w:after="200"/>
        <w:jc w:val="center"/>
      </w:pPr>
      <w:r>
        <w:rPr>
          <w:rFonts w:ascii="Arial" w:cs="Arial" w:eastAsia="Arial" w:hAnsi="Arial"/>
          <w:b/>
          <w:bCs/>
          <w:color w:val="1A8547"/>
          <w:sz w:val="48"/>
          <w:szCs w:val="48"/>
        </w:rPr>
        <w:t xml:space="preserve">Pharma AI &amp; Data Congress</w:t>
      </w:r>
    </w:p>
    <w:p>
      <w:pPr>
        <w:spacing w:after="400"/>
        <w:jc w:val="center"/>
      </w:pPr>
      <w:r>
        <w:rPr>
          <w:rFonts w:ascii="Arial" w:cs="Arial" w:eastAsia="Arial" w:hAnsi="Arial"/>
          <w:color w:val="000000"/>
          <w:sz w:val="32"/>
          <w:szCs w:val="32"/>
        </w:rPr>
        <w:t xml:space="preserve">Mumbai | 21 May 2026</w:t>
      </w:r>
    </w:p>
    <w:p>
      <w:pPr>
        <w:spacing w:after="800"/>
        <w:jc w:val="center"/>
      </w:pPr>
      <w:r>
        <w:rPr>
          <w:rFonts w:ascii="Arial" w:cs="Arial" w:eastAsia="Arial" w:hAnsi="Arial"/>
          <w:color w:val="666666"/>
          <w:sz w:val="24"/>
          <w:szCs w:val="24"/>
        </w:rPr>
        <w:t xml:space="preserve">A GPACTS 2026 Series Event</w:t>
      </w:r>
    </w:p>
    <w:p>
      <w:pPr>
        <w:spacing w:after="400"/>
        <w:jc w:val="center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Event Operations Brief</w:t>
      </w:r>
    </w:p>
    <w:p>
      <w:pPr>
        <w:jc w:val="center"/>
      </w:pPr>
      <w:r>
        <w:rPr>
          <w:rFonts w:ascii="Arial" w:cs="Arial" w:eastAsia="Arial" w:hAnsi="Arial"/>
          <w:color w:val="666666"/>
          <w:sz w:val="22"/>
          <w:szCs w:val="22"/>
        </w:rPr>
        <w:t xml:space="preserve">Confidential — Internal Use Only</w:t>
      </w:r>
    </w:p>
    <w:p>
      <w:r>
        <w:br w:type="pag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1: Event Overview</w:t>
      </w:r>
    </w:p>
    <w:p>
      <w:pPr>
        <w:spacing w:after="120" w:before="0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Full-day conference (9 AM – 6:30 PM) focused on Track 1: AI, Data &amp; Intelligent Automation in pharma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Venue: Mumbai (TBD — target 5-star hotel conference facility in BKC/Lower Parel/Powai corridor)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Expected delegates: 80–120 pharma IT leaders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Theme: From Data to Decisions: AI-Powered Pharma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Why Mumbai first: Highest concentration of pharma HQs (Sun Pharma, Cipla, Lupin, Alkem, Glenmark, Piramal). Natural starting point for CIO/CDO outreach. AI/Data theme has highest market demand score (76/80)</w:t>
      </w:r>
    </w:p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2: Proposed Agenda</w:t>
      </w:r>
    </w:p>
    <w:p>
      <w:pPr>
        <w:spacing w:after="100" w:before="100"/>
      </w:pPr>
      <w:r>
        <w:t xml:space="preserve">Detailed Event Timetable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3000"/>
        <w:gridCol w:w="2000"/>
        <w:gridCol w:w="2860"/>
      </w:tblGrid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Time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Session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Format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Speaker Slot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09:00–09:30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Registration &amp; Networking Breakfast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09:30–09:45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Welcome &amp; Opening Remarks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Address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GPACTS Host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09:45–10:15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Keynote: Enterprise AI Strategy for Indian Pharma — From Pilot to Scale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Keynote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 CIO/CDO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10:15–10:45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Keynote: The ISPE GAMP AI Guide — What Pharma IT Must Know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Keynote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 Regulatory/ISPE Expert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10:45–11:00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Networking &amp; Refreshment Break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11:00–11:45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Panel: Data Governance in Regulated Environments — ALCOA++ Meets Data Mesh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 (45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4 panellists + moderator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11:45–12:15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Practitioner Talk: Implementing Predictive Quality &amp; Yield Optimisation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Case Study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P1/P2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12:15–12:45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Fireside Chat: GenAI in Pharma — Hype vs Reality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Fireside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CIO + Industry Analyst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12:45–13:45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Networking Lunch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activation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13:45–14:15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Keynote / Workshop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Sponsored Session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Title/Platinum Sponsor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14:15–15:00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Panel: Building AI Talent &amp; Culture in Pharma Organisations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 (45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4 panellists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15:00–15:30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Practitioner Talk: AI-Powered Drug Discovery &amp; Clinical Trial Optimisation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Case Study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P2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15:30–15:45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Networking &amp; Refreshment Break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15:45–16:30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Roundtable: CIO-CDO Dialogue — Aligning Data Strategy with Business Outcomes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Closed Roundtable (45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CXO invite-only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16:30–17:00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Practitioner Talk: RPA &amp; Intelligent Automation in Pharma Supply Chain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Case Study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P2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17:00–17:30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Closing Keynote: The Future of Pharma IT — 2030 Vision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Keynote (30 min)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Industry thought leader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17:30–17:45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Vote of Thanks &amp; Closing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Address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GPACTS Host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17:45–18:30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Networking Reception &amp; Cocktails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—</w:t>
            </w:r>
          </w:p>
        </w:tc>
        <w:tc>
          <w:tcPr>
            <w:tcW w:type="dxa" w:w="2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Sponsor-hosted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3: Speaker Targets (Mumbai-Specific)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1800"/>
        <w:gridCol w:w="1800"/>
        <w:gridCol w:w="1350"/>
        <w:gridCol w:w="850"/>
        <w:gridCol w:w="760"/>
      </w:tblGrid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Name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Designation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Company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Role at Event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Priority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Status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Dheeraj Sinha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EVP &amp; Global CIO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Sun Pharmaceutical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Opening Keynote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Narendra K Saini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CDO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Lupin Ltd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Practitioner Keynote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Ganesh Ramachandran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Global CIO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Alkem Laboratories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 Moderator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Sumit Garg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Global CIO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Piramal Pharma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Panel: AI in CDMO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Sanjay Nandavadekar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Director IT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Cipla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Panel: Digital Transformation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[CDO to identify]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CDO/Head Data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Dr. Reddy's / Zydus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Data Governance Panel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P2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Research Needed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[AI/ML Head]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Head of AI/ML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Biocon / Glenmark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Practitioner Talk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P2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Research Needed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Dr. Ajay Babu Pazhayattil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ISPE Expert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Industry advisor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GAMP AI Guide Keynote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P1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 Approach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[Sponsor Speaker]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CTO/VP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AI/Data Vendor</w:t>
            </w:r>
          </w:p>
        </w:tc>
        <w:tc>
          <w:tcPr>
            <w:tcW w:type="dxa" w:w="13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Keynote</w:t>
            </w:r>
          </w:p>
        </w:tc>
        <w:tc>
          <w:tcPr>
            <w:tcW w:type="dxa" w:w="8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P2</w:t>
            </w:r>
          </w:p>
        </w:tc>
        <w:tc>
          <w:tcPr>
            <w:tcW w:type="dxa" w:w="7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Tied to Sponsorship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4: Sponsor Strategy (Mumbai-Specific)</w:t>
      </w:r>
    </w:p>
    <w:p>
      <w:pPr>
        <w:spacing w:after="120" w:before="100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Target: 3–5 sponsors | Revenue target: ₹8–15L</w:t>
      </w:r>
    </w:p>
    <w:p>
      <w:pPr>
        <w:spacing w:after="100" w:before="0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Priority sponsor categories for AI &amp; Data theme: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3500"/>
        <w:gridCol w:w="1500"/>
        <w:gridCol w:w="236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Category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Target Companies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Fit</w:t>
            </w:r>
          </w:p>
        </w:tc>
        <w:tc>
          <w:tcPr>
            <w:tcW w:type="dxa" w:w="2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Approach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AI/Data Platforms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Databricks, Snowflake, Informatica, Palantir, Dataiku, SAS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Primary fit (Track 1 core)</w:t>
            </w:r>
          </w:p>
        </w:tc>
        <w:tc>
          <w:tcPr>
            <w:tcW w:type="dxa" w:w="2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Solution demo + keynote slot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Cloud Providers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AWS, Microsoft Azure, Google Cloud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Strong fit (AI runs on cloud)</w:t>
            </w:r>
          </w:p>
        </w:tc>
        <w:tc>
          <w:tcPr>
            <w:tcW w:type="dxa" w:w="2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AI-on-cloud positioning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IT Services (AI Practice)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TCS, Infosys, Wipro, HCLTech, LTIMindtree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Good fit (pharma AI implementations)</w:t>
            </w:r>
          </w:p>
        </w:tc>
        <w:tc>
          <w:tcPr>
            <w:tcW w:type="dxa" w:w="2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Case study slot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RPA/Automation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UiPath, Automation Anywhere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Good fit (intelligent automation)</w:t>
            </w:r>
          </w:p>
        </w:tc>
        <w:tc>
          <w:tcPr>
            <w:tcW w:type="dxa" w:w="2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Workshop slot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5: Delegate Acquisition Plan (Mumbai)</w:t>
      </w:r>
    </w:p>
    <w:p>
      <w:pPr>
        <w:spacing w:after="120" w:before="0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Target: 80–120 delegates, minimum 60% pharma end-users (not vendors)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C-Suite/VP target: 25%+ of total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Primary target titles: CIO, CDO, Head of Data &amp; Analytics, Head of AI/ML, VP Digital Innovation, IT Directors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Secondary: Cloud Architects, Data Engineers, Data Scientists (practitioner-level)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Mumbai-based priority companies: Sun Pharma, Cipla, Lupin, Alkem, Glenmark, Piramal, Ajanta, Wockhardt, Indoco, Abbott India, Pfizer India, Novartis India, Sanofi India</w:t>
      </w:r>
    </w:p>
    <w:p>
      <w:pPr>
        <w:spacing w:after="100" w:before="120"/>
      </w:pPr>
      <w:r>
        <w:t xml:space="preserve"/>
      </w:r>
    </w:p>
    <w:p>
      <w:pPr>
        <w:spacing w:after="100" w:before="100"/>
      </w:pPr>
      <w:r>
        <w:rPr>
          <w:rFonts w:ascii="Arial" w:cs="Arial" w:eastAsia="Arial" w:hAnsi="Arial"/>
          <w:b w:val="false"/>
          <w:bCs w:val="false"/>
          <w:color w:val="000000"/>
          <w:sz w:val="22"/>
          <w:szCs w:val="22"/>
        </w:rPr>
        <w:t xml:space="preserve">Acquisition Timeline: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3500"/>
        <w:gridCol w:w="4860"/>
      </w:tblGrid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Week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Action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Target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W1-W2 (Now)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Build Mumbai pharma IT contact list, 200+ names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Database ready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W3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Launch email campaign #1 (save the date), first LinkedIn outreach wave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Email sent to 200+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W4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announcements + email campaign #2, telecalling begins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30+ confirmations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W5-W6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Early bird deadline push, referral programme launch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50+ paid registrations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W7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Final push, agenda reveal email, personal CXO invitations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70+ confirmations</w:t>
            </w:r>
          </w:p>
        </w:tc>
      </w:tr>
      <w:tr>
        <w:tc>
          <w:tcPr>
            <w:tcW w:type="dxa" w:w="1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W8 (21 May)</w:t>
            </w:r>
          </w:p>
        </w:tc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EVENT DAY — target 80+ confirmed, 60+ attended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Attendance: 60+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6: Budget Estimate (Mumbai)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1500"/>
        <w:gridCol w:w="1500"/>
        <w:gridCol w:w="3860"/>
      </w:tblGrid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Cost Head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Low Estimate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High Estimate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Notes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Venue &amp; F&amp;B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₹3L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₹5L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5-star hotel, full-day package, 100-120 pax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Travel &amp; Accommodation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₹2L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Most speakers Mumbai-based; 2-3 outstation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AV &amp; Production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₹1.5L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₹2.5L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Stage, screens, sound, recording, confidence monitors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Marketing &amp; Promotion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₹2L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₹3L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Digital ads, email tools, design, printed collateral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Technology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₹1.5L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Registration platform, event app, badge printing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Delegate Kits &amp; Branding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₹0.5L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Bags, notepads, stage backdrop, standees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Miscellaneous (10%)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₹0.9L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₹1.5L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Buffer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TOTAL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₹9.9L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₹16.5L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Overall budget range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Revenue target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₹8–15L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Sponsorship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+ ₹2–5L (paid delegate passes)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Break-even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 sponsors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Gold level</w:t>
            </w:r>
          </w:p>
        </w:tc>
        <w:tc>
          <w:tcPr>
            <w:tcW w:type="dxa" w:w="3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+ 30 paid delegates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7: Week-by-Week Action Plan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1700"/>
        <w:gridCol w:w="1700"/>
        <w:gridCol w:w="1700"/>
        <w:gridCol w:w="1700"/>
        <w:gridCol w:w="1560"/>
      </w:tblGrid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Week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Speaker Team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Sponsor Team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Delegate Team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Marketing Team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Tech Team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W1-W2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Finalise speaker shortlist, outreach to P1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deck ready, begin outreach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Build contact database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Visual identity, website design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Evaluate registration platforms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W3-W4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Secure 3-4 speakers, pursue rest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Close 1-2 sponsors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Launch email + LinkedIn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Website live, first campaigns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Registration system live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W5-W6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All speakers confirmed, collect bios/photos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Close remaining sponsors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Early bird push, telecalls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announcements, agenda teaser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Event app setup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W7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briefing, collect presentations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fulfilment prep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Final push, CXO personal invites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Full agenda publish, final emails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AV vendor confirmed, dry run plan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W8 (21 May)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management, green room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booth setup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On-site registration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Live coverage, media</w:t>
            </w:r>
          </w:p>
        </w:tc>
        <w:tc>
          <w:tcPr>
            <w:tcW w:type="dxa" w:w="1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Full tech ops</w:t>
            </w:r>
          </w:p>
        </w:tc>
      </w:tr>
    </w:tbl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8: Venue Requirements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Location: BKC / Lower Parel / Powai / Andheri East corridor (accessible to pharma HQs)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Capacity: Main hall for 120 pax (theatre style) with ability to convert to roundtable for 30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Breakout room: 1 room for 30 pax (sponsor workshop / CXO roundtable)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AV: Built-in projector, 2 screens, professional sound system, 4+ wireless mics, recording capability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F&amp;B: Breakfast, 2 tea/coffee breaks, sit-down lunch, evening cocktails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Wi-Fi: High-speed, dedicated event SSID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Branding: Permission for backdrop, standees, roll-ups at entrance and stage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Parking: Adequate for 30-40 vehicles</w:t>
      </w:r>
    </w:p>
    <w:p>
      <w:pPr>
        <w:pStyle w:val="ListParagraph"/>
        <w:numPr>
          <w:ilvl w:val="0"/>
          <w:numId w:val="2"/>
        </w:numPr>
      </w:pPr>
      <w:r>
        <w:rPr>
          <w:rFonts w:ascii="Arial" w:cs="Arial" w:eastAsia="Arial" w:hAnsi="Arial"/>
          <w:sz w:val="22"/>
          <w:szCs w:val="22"/>
        </w:rPr>
        <w:t xml:space="preserve">Budget range: ₹3-5L for full-day package</w:t>
      </w:r>
    </w:p>
    <w:p>
      <w:pPr>
        <w:spacing w:after="200" w:before="200"/>
      </w:pPr>
      <w:r>
        <w:t xml:space="preserve"/>
      </w:r>
    </w:p>
    <w:p>
      <w:pPr>
        <w:pStyle w:val="Heading1"/>
        <w:spacing w:after="120" w:before="240"/>
      </w:pPr>
      <w:r>
        <w:rPr>
          <w:rFonts w:ascii="Arial" w:cs="Arial" w:eastAsia="Arial" w:hAnsi="Arial"/>
          <w:b/>
          <w:bCs/>
          <w:color w:val="1A8547"/>
          <w:sz w:val="32"/>
          <w:szCs w:val="32"/>
        </w:rPr>
        <w:t xml:space="preserve">SECTION 9: Success Metrics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2000"/>
        <w:gridCol w:w="4860"/>
      </w:tblGrid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Metric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Target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A854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Measurement Method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Total attendance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80+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Registration system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C-Suite/VP ratio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&gt;25%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Badge category analysis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Speaker NPS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&gt;8.5/10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Post-event survey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Delegate NPS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&gt;8.0/10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Post-event survey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satisfaction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&gt;8.0/10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Sponsor feedback form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Leads generated for sponsors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50+ per sponsor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Lead capture system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Social media impressions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50,000+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LinkedIn analytics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Pipeline for Ahmedabad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20+ warm leads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CRM tracking</w:t>
            </w:r>
          </w:p>
        </w:tc>
      </w:tr>
      <w:tr>
        <w:tc>
          <w:tcPr>
            <w:tcW w:type="dxa" w:w="2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Pipeline for Flagship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30+ warm leads</w:t>
            </w:r>
          </w:p>
        </w:tc>
        <w:tc>
          <w:tcPr>
            <w:tcW w:type="dxa" w:w="4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CRM tracking</w:t>
            </w:r>
          </w:p>
        </w:tc>
      </w:tr>
    </w:tbl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66666"/>
        <w:sz w:val="20"/>
        <w:szCs w:val="20"/>
      </w:rPr>
      <w:t xml:space="preserve">Confidential — 12Grids | A GPACTS 2026 Series Event | Page </w:t>
    </w:r>
    <w:r>
      <w:rPr>
        <w:rFonts w:ascii="Arial" w:cs="Arial" w:eastAsia="Arial" w:hAnsi="Arial"/>
        <w:color w:val="666666"/>
        <w:sz w:val="20"/>
        <w:szCs w:val="20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A8547" w:sz="6" w:space="1"/>
      </w:pBdr>
      <w:jc w:val="right"/>
    </w:pPr>
    <w:r>
      <w:rPr>
        <w:rFonts w:ascii="Arial" w:cs="Arial" w:eastAsia="Arial" w:hAnsi="Arial"/>
        <w:color w:val="000000"/>
        <w:sz w:val="22"/>
        <w:szCs w:val="22"/>
      </w:rPr>
      <w:t xml:space="preserve">Pharma AI &amp; Data Congress — Mumbai | 21 May 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1A8547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00" w:before="180"/>
      <w:outlineLvl w:val="1"/>
    </w:pPr>
    <w:rPr>
      <w:rFonts w:ascii="Arial" w:cs="Arial" w:eastAsia="Arial" w:hAnsi="Arial"/>
      <w:b/>
      <w:bCs/>
      <w:sz w:val="28"/>
      <w:szCs w:val="2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2026-03-24T07:45:20.002Z</dcterms:created>
  <dcterms:modified xsi:type="dcterms:W3CDTF">2026-03-24T07:45:20.003Z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